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704C" w14:textId="77777777" w:rsidR="000C7CC3" w:rsidRPr="000C7CC3" w:rsidRDefault="000C7CC3" w:rsidP="000C7CC3">
      <w:pPr>
        <w:spacing w:before="100" w:beforeAutospacing="1" w:after="100" w:afterAutospacing="1" w:line="240" w:lineRule="auto"/>
        <w:outlineLvl w:val="1"/>
        <w:rPr>
          <w:rFonts w:ascii="Montserrat" w:eastAsia="Times New Roman" w:hAnsi="Montserrat" w:cs="Times New Roman"/>
          <w:b/>
          <w:bCs/>
          <w:color w:val="222328"/>
          <w:sz w:val="42"/>
          <w:szCs w:val="42"/>
          <w:lang w:eastAsia="en-AU"/>
        </w:rPr>
      </w:pPr>
      <w:r w:rsidRPr="000C7CC3">
        <w:rPr>
          <w:rFonts w:ascii="Montserrat" w:eastAsia="Times New Roman" w:hAnsi="Montserrat" w:cs="Times New Roman"/>
          <w:b/>
          <w:bCs/>
          <w:color w:val="222328"/>
          <w:sz w:val="42"/>
          <w:szCs w:val="42"/>
          <w:lang w:eastAsia="en-AU"/>
        </w:rPr>
        <w:t>Summary of Restrictions from 12 noon Saturday 8 January 2022</w:t>
      </w:r>
    </w:p>
    <w:tbl>
      <w:tblPr>
        <w:tblW w:w="14832" w:type="dxa"/>
        <w:tblBorders>
          <w:top w:val="single" w:sz="6" w:space="0" w:color="C5C5C5"/>
          <w:left w:val="single" w:sz="6" w:space="0" w:color="C5C5C5"/>
          <w:bottom w:val="single" w:sz="6" w:space="0" w:color="C5C5C5"/>
          <w:right w:val="single" w:sz="6" w:space="0" w:color="C5C5C5"/>
        </w:tblBorders>
        <w:tblCellMar>
          <w:top w:w="15" w:type="dxa"/>
          <w:left w:w="15" w:type="dxa"/>
          <w:bottom w:w="15" w:type="dxa"/>
          <w:right w:w="15" w:type="dxa"/>
        </w:tblCellMar>
        <w:tblLook w:val="04A0" w:firstRow="1" w:lastRow="0" w:firstColumn="1" w:lastColumn="0" w:noHBand="0" w:noVBand="1"/>
      </w:tblPr>
      <w:tblGrid>
        <w:gridCol w:w="2927"/>
        <w:gridCol w:w="11905"/>
      </w:tblGrid>
      <w:tr w:rsidR="000C7CC3" w:rsidRPr="000C7CC3" w14:paraId="1518CABF" w14:textId="77777777" w:rsidTr="000C7CC3">
        <w:trPr>
          <w:tblHeader/>
        </w:trPr>
        <w:tc>
          <w:tcPr>
            <w:tcW w:w="0" w:type="auto"/>
            <w:tcBorders>
              <w:top w:val="nil"/>
              <w:left w:val="single" w:sz="6" w:space="0" w:color="C5C5C5"/>
              <w:bottom w:val="single" w:sz="12" w:space="0" w:color="C5C5C5"/>
              <w:right w:val="single" w:sz="6" w:space="0" w:color="C5C5C5"/>
            </w:tcBorders>
            <w:shd w:val="clear" w:color="auto" w:fill="2B2867"/>
            <w:tcMar>
              <w:top w:w="192" w:type="dxa"/>
              <w:left w:w="192" w:type="dxa"/>
              <w:bottom w:w="192" w:type="dxa"/>
              <w:right w:w="192" w:type="dxa"/>
            </w:tcMar>
            <w:vAlign w:val="bottom"/>
            <w:hideMark/>
          </w:tcPr>
          <w:p w14:paraId="26C6E9A1" w14:textId="77777777" w:rsidR="000C7CC3" w:rsidRPr="000C7CC3" w:rsidRDefault="000C7CC3" w:rsidP="000C7CC3">
            <w:pPr>
              <w:spacing w:after="384" w:line="384" w:lineRule="atLeast"/>
              <w:rPr>
                <w:rFonts w:ascii="Source Sans Pro" w:eastAsia="Times New Roman" w:hAnsi="Source Sans Pro" w:cs="Times New Roman"/>
                <w:b/>
                <w:bCs/>
                <w:color w:val="ECE9F3"/>
                <w:sz w:val="27"/>
                <w:szCs w:val="27"/>
                <w:lang w:eastAsia="en-AU"/>
              </w:rPr>
            </w:pPr>
            <w:r w:rsidRPr="000C7CC3">
              <w:rPr>
                <w:rFonts w:ascii="Source Sans Pro" w:eastAsia="Times New Roman" w:hAnsi="Source Sans Pro" w:cs="Times New Roman"/>
                <w:b/>
                <w:bCs/>
                <w:color w:val="ECE9F3"/>
                <w:sz w:val="27"/>
                <w:szCs w:val="27"/>
                <w:lang w:eastAsia="en-AU"/>
              </w:rPr>
              <w:t>Category</w:t>
            </w:r>
          </w:p>
        </w:tc>
        <w:tc>
          <w:tcPr>
            <w:tcW w:w="0" w:type="auto"/>
            <w:tcBorders>
              <w:top w:val="nil"/>
              <w:left w:val="single" w:sz="6" w:space="0" w:color="C5C5C5"/>
              <w:bottom w:val="single" w:sz="12" w:space="0" w:color="C5C5C5"/>
              <w:right w:val="single" w:sz="6" w:space="0" w:color="C5C5C5"/>
            </w:tcBorders>
            <w:shd w:val="clear" w:color="auto" w:fill="2B2867"/>
            <w:tcMar>
              <w:top w:w="192" w:type="dxa"/>
              <w:left w:w="192" w:type="dxa"/>
              <w:bottom w:w="192" w:type="dxa"/>
              <w:right w:w="192" w:type="dxa"/>
            </w:tcMar>
            <w:vAlign w:val="bottom"/>
            <w:hideMark/>
          </w:tcPr>
          <w:p w14:paraId="37FD8D0C" w14:textId="77777777" w:rsidR="000C7CC3" w:rsidRPr="000C7CC3" w:rsidRDefault="000C7CC3" w:rsidP="000C7CC3">
            <w:pPr>
              <w:spacing w:after="384" w:line="384" w:lineRule="atLeast"/>
              <w:rPr>
                <w:rFonts w:ascii="Source Sans Pro" w:eastAsia="Times New Roman" w:hAnsi="Source Sans Pro" w:cs="Times New Roman"/>
                <w:b/>
                <w:bCs/>
                <w:color w:val="ECE9F3"/>
                <w:sz w:val="27"/>
                <w:szCs w:val="27"/>
                <w:lang w:eastAsia="en-AU"/>
              </w:rPr>
            </w:pPr>
            <w:r w:rsidRPr="000C7CC3">
              <w:rPr>
                <w:rFonts w:ascii="Source Sans Pro" w:eastAsia="Times New Roman" w:hAnsi="Source Sans Pro" w:cs="Times New Roman"/>
                <w:b/>
                <w:bCs/>
                <w:color w:val="ECE9F3"/>
                <w:sz w:val="27"/>
                <w:szCs w:val="27"/>
                <w:lang w:eastAsia="en-AU"/>
              </w:rPr>
              <w:t>Restrictions</w:t>
            </w:r>
          </w:p>
        </w:tc>
      </w:tr>
      <w:tr w:rsidR="000C7CC3" w:rsidRPr="000C7CC3" w14:paraId="48F85A0F"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326BC81" w14:textId="77777777" w:rsidR="000C7CC3" w:rsidRPr="000C7CC3" w:rsidRDefault="000C7CC3" w:rsidP="000C7CC3">
            <w:pPr>
              <w:spacing w:after="0"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Core restrictions across all settings</w:t>
            </w: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01A86C4" w14:textId="77777777" w:rsidR="000C7CC3" w:rsidRPr="000C7CC3" w:rsidRDefault="000C7CC3" w:rsidP="000C7CC3">
            <w:pPr>
              <w:numPr>
                <w:ilvl w:val="0"/>
                <w:numId w:val="1"/>
              </w:numPr>
              <w:spacing w:before="100" w:beforeAutospacing="1" w:after="96" w:line="384" w:lineRule="atLeast"/>
              <w:rPr>
                <w:rFonts w:ascii="Source Sans Pro" w:eastAsia="Times New Roman" w:hAnsi="Source Sans Pro" w:cs="Times New Roman"/>
                <w:color w:val="313131"/>
                <w:sz w:val="27"/>
                <w:szCs w:val="27"/>
                <w:lang w:eastAsia="en-AU"/>
              </w:rPr>
            </w:pPr>
            <w:hyperlink r:id="rId5" w:tgtFrame="_blank" w:history="1">
              <w:r w:rsidRPr="000C7CC3">
                <w:rPr>
                  <w:rFonts w:ascii="Source Sans Pro" w:eastAsia="Times New Roman" w:hAnsi="Source Sans Pro" w:cs="Times New Roman"/>
                  <w:color w:val="313131"/>
                  <w:sz w:val="27"/>
                  <w:szCs w:val="27"/>
                  <w:u w:val="single"/>
                  <w:lang w:eastAsia="en-AU"/>
                </w:rPr>
                <w:t>COVID-19 Safety Plans</w:t>
              </w:r>
            </w:hyperlink>
            <w:r w:rsidRPr="000C7CC3">
              <w:rPr>
                <w:rFonts w:ascii="Source Sans Pro" w:eastAsia="Times New Roman" w:hAnsi="Source Sans Pro" w:cs="Times New Roman"/>
                <w:color w:val="313131"/>
                <w:sz w:val="27"/>
                <w:szCs w:val="27"/>
                <w:lang w:eastAsia="en-AU"/>
              </w:rPr>
              <w:t> must be prepared by certain businesses and able to be produced if requested by an authorised officer.</w:t>
            </w:r>
          </w:p>
          <w:p w14:paraId="04B0E83F" w14:textId="77777777" w:rsidR="000C7CC3" w:rsidRPr="000C7CC3" w:rsidRDefault="000C7CC3" w:rsidP="000C7CC3">
            <w:pPr>
              <w:numPr>
                <w:ilvl w:val="0"/>
                <w:numId w:val="1"/>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Venues and events must continue to use the </w:t>
            </w:r>
            <w:hyperlink r:id="rId6" w:tgtFrame="_blank" w:history="1">
              <w:r w:rsidRPr="000C7CC3">
                <w:rPr>
                  <w:rFonts w:ascii="Source Sans Pro" w:eastAsia="Times New Roman" w:hAnsi="Source Sans Pro" w:cs="Times New Roman"/>
                  <w:color w:val="313131"/>
                  <w:sz w:val="27"/>
                  <w:szCs w:val="27"/>
                  <w:u w:val="single"/>
                  <w:lang w:eastAsia="en-AU"/>
                </w:rPr>
                <w:t>Check in CBR app</w:t>
              </w:r>
            </w:hyperlink>
            <w:r w:rsidRPr="000C7CC3">
              <w:rPr>
                <w:rFonts w:ascii="Source Sans Pro" w:eastAsia="Times New Roman" w:hAnsi="Source Sans Pro" w:cs="Times New Roman"/>
                <w:color w:val="313131"/>
                <w:sz w:val="27"/>
                <w:szCs w:val="27"/>
                <w:lang w:eastAsia="en-AU"/>
              </w:rPr>
              <w:t>, including the building and construction sector.</w:t>
            </w:r>
          </w:p>
          <w:p w14:paraId="11CA609A" w14:textId="77777777" w:rsidR="000C7CC3" w:rsidRPr="000C7CC3" w:rsidRDefault="000C7CC3" w:rsidP="000C7CC3">
            <w:pPr>
              <w:numPr>
                <w:ilvl w:val="1"/>
                <w:numId w:val="1"/>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Paper records are not permitted to be used to collect patron details.</w:t>
            </w:r>
          </w:p>
          <w:p w14:paraId="1BE8B1C4" w14:textId="77777777" w:rsidR="000C7CC3" w:rsidRPr="000C7CC3" w:rsidRDefault="000C7CC3" w:rsidP="000C7CC3">
            <w:pPr>
              <w:numPr>
                <w:ilvl w:val="1"/>
                <w:numId w:val="1"/>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Businesses are required to use the </w:t>
            </w:r>
            <w:hyperlink r:id="rId7" w:tgtFrame="_blank" w:history="1">
              <w:r w:rsidRPr="000C7CC3">
                <w:rPr>
                  <w:rFonts w:ascii="Source Sans Pro" w:eastAsia="Times New Roman" w:hAnsi="Source Sans Pro" w:cs="Times New Roman"/>
                  <w:color w:val="313131"/>
                  <w:sz w:val="27"/>
                  <w:szCs w:val="27"/>
                  <w:u w:val="single"/>
                  <w:lang w:eastAsia="en-AU"/>
                </w:rPr>
                <w:t>Business Profile function of the Check In CBR app</w:t>
              </w:r>
            </w:hyperlink>
            <w:r w:rsidRPr="000C7CC3">
              <w:rPr>
                <w:rFonts w:ascii="Source Sans Pro" w:eastAsia="Times New Roman" w:hAnsi="Source Sans Pro" w:cs="Times New Roman"/>
                <w:color w:val="313131"/>
                <w:sz w:val="27"/>
                <w:szCs w:val="27"/>
                <w:lang w:eastAsia="en-AU"/>
              </w:rPr>
              <w:t> going forward.</w:t>
            </w:r>
          </w:p>
        </w:tc>
      </w:tr>
      <w:tr w:rsidR="000C7CC3" w:rsidRPr="000C7CC3" w14:paraId="2E6E6AC3"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AA3D194"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Face coverings / masks</w:t>
            </w: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9AC1CB0" w14:textId="77777777" w:rsidR="000C7CC3" w:rsidRPr="000C7CC3" w:rsidRDefault="000C7CC3" w:rsidP="000C7CC3">
            <w:pPr>
              <w:numPr>
                <w:ilvl w:val="0"/>
                <w:numId w:val="2"/>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Any person aged 12 years or older must wear a face mask in indoor settings (other than a place of residence).</w:t>
            </w:r>
          </w:p>
          <w:p w14:paraId="5AD58AF1" w14:textId="77777777" w:rsidR="000C7CC3" w:rsidRPr="000C7CC3" w:rsidRDefault="000C7CC3" w:rsidP="000C7CC3">
            <w:pPr>
              <w:numPr>
                <w:ilvl w:val="0"/>
                <w:numId w:val="2"/>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A person is not required to wear a face mask if they have a physical or mental health illness or condition, or disability, which makes wearing a face mask detrimental to their condition.</w:t>
            </w:r>
          </w:p>
          <w:p w14:paraId="4D4014E5" w14:textId="77777777" w:rsidR="000C7CC3" w:rsidRPr="000C7CC3" w:rsidRDefault="000C7CC3" w:rsidP="000C7CC3">
            <w:pPr>
              <w:numPr>
                <w:ilvl w:val="0"/>
                <w:numId w:val="2"/>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For more information see </w:t>
            </w:r>
            <w:hyperlink r:id="rId8" w:anchor="Face-masks" w:tgtFrame="_blank" w:history="1">
              <w:r w:rsidRPr="000C7CC3">
                <w:rPr>
                  <w:rFonts w:ascii="Source Sans Pro" w:eastAsia="Times New Roman" w:hAnsi="Source Sans Pro" w:cs="Times New Roman"/>
                  <w:b/>
                  <w:bCs/>
                  <w:color w:val="313131"/>
                  <w:sz w:val="27"/>
                  <w:szCs w:val="27"/>
                  <w:u w:val="single"/>
                  <w:lang w:eastAsia="en-AU"/>
                </w:rPr>
                <w:t>Face masks requirements</w:t>
              </w:r>
            </w:hyperlink>
            <w:r w:rsidRPr="000C7CC3">
              <w:rPr>
                <w:rFonts w:ascii="Source Sans Pro" w:eastAsia="Times New Roman" w:hAnsi="Source Sans Pro" w:cs="Times New Roman"/>
                <w:b/>
                <w:bCs/>
                <w:color w:val="313131"/>
                <w:sz w:val="27"/>
                <w:szCs w:val="27"/>
                <w:lang w:eastAsia="en-AU"/>
              </w:rPr>
              <w:t>.</w:t>
            </w:r>
          </w:p>
        </w:tc>
      </w:tr>
      <w:tr w:rsidR="000C7CC3" w:rsidRPr="000C7CC3" w14:paraId="6222E3F3"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5D027EF3"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Social Gatherings, Leaving Home and Visitors</w:t>
            </w: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43CD0E63"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Home Visits</w:t>
            </w:r>
          </w:p>
          <w:p w14:paraId="2CADCB33" w14:textId="77777777" w:rsidR="000C7CC3" w:rsidRPr="000C7CC3" w:rsidRDefault="000C7CC3" w:rsidP="000C7CC3">
            <w:pPr>
              <w:numPr>
                <w:ilvl w:val="0"/>
                <w:numId w:val="3"/>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limit on number of visitors to a home, however it is strongly encouraged that households minimise the number of visitors in their home at any one time to ensure COVID safe behaviours such as physical distancing can be maintained.</w:t>
            </w:r>
          </w:p>
          <w:p w14:paraId="22593833"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Informal Outdoor Gatherings</w:t>
            </w:r>
          </w:p>
          <w:p w14:paraId="53CDB9BE" w14:textId="77777777" w:rsidR="000C7CC3" w:rsidRPr="000C7CC3" w:rsidRDefault="000C7CC3" w:rsidP="000C7CC3">
            <w:pPr>
              <w:numPr>
                <w:ilvl w:val="0"/>
                <w:numId w:val="4"/>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limit on the number of people permitted at informal outdoor gatherings, however individuals are encouraged to stay in their known social groups and minimise the size of gatherings where possible.</w:t>
            </w:r>
          </w:p>
          <w:p w14:paraId="165B973A"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Organised Events (Outdoor and Indoor)</w:t>
            </w:r>
          </w:p>
          <w:p w14:paraId="52C54072" w14:textId="77777777" w:rsidR="000C7CC3" w:rsidRPr="000C7CC3" w:rsidRDefault="000C7CC3" w:rsidP="000C7CC3">
            <w:pPr>
              <w:numPr>
                <w:ilvl w:val="0"/>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All organised events must develop a </w:t>
            </w:r>
            <w:hyperlink r:id="rId9" w:tgtFrame="_blank" w:history="1">
              <w:r w:rsidRPr="000C7CC3">
                <w:rPr>
                  <w:rFonts w:ascii="Source Sans Pro" w:eastAsia="Times New Roman" w:hAnsi="Source Sans Pro" w:cs="Times New Roman"/>
                  <w:color w:val="313131"/>
                  <w:sz w:val="27"/>
                  <w:szCs w:val="27"/>
                  <w:u w:val="single"/>
                  <w:lang w:eastAsia="en-AU"/>
                </w:rPr>
                <w:t>COVID Safety Plan</w:t>
              </w:r>
            </w:hyperlink>
            <w:r w:rsidRPr="000C7CC3">
              <w:rPr>
                <w:rFonts w:ascii="Source Sans Pro" w:eastAsia="Times New Roman" w:hAnsi="Source Sans Pro" w:cs="Times New Roman"/>
                <w:color w:val="313131"/>
                <w:sz w:val="27"/>
                <w:szCs w:val="27"/>
                <w:lang w:eastAsia="en-AU"/>
              </w:rPr>
              <w:t>.</w:t>
            </w:r>
          </w:p>
          <w:p w14:paraId="74462DFA" w14:textId="77777777" w:rsidR="000C7CC3" w:rsidRPr="000C7CC3" w:rsidRDefault="000C7CC3" w:rsidP="000C7CC3">
            <w:pPr>
              <w:numPr>
                <w:ilvl w:val="1"/>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The </w:t>
            </w:r>
            <w:hyperlink r:id="rId10" w:tgtFrame="_blank" w:history="1">
              <w:r w:rsidRPr="000C7CC3">
                <w:rPr>
                  <w:rFonts w:ascii="Source Sans Pro" w:eastAsia="Times New Roman" w:hAnsi="Source Sans Pro" w:cs="Times New Roman"/>
                  <w:color w:val="313131"/>
                  <w:sz w:val="27"/>
                  <w:szCs w:val="27"/>
                  <w:u w:val="single"/>
                  <w:lang w:eastAsia="en-AU"/>
                </w:rPr>
                <w:t>COVID Safe Event Checklist </w:t>
              </w:r>
            </w:hyperlink>
            <w:r w:rsidRPr="000C7CC3">
              <w:rPr>
                <w:rFonts w:ascii="Source Sans Pro" w:eastAsia="Times New Roman" w:hAnsi="Source Sans Pro" w:cs="Times New Roman"/>
                <w:color w:val="313131"/>
                <w:sz w:val="27"/>
                <w:szCs w:val="27"/>
                <w:lang w:eastAsia="en-AU"/>
              </w:rPr>
              <w:t>(for events up to 2,000 people) is available for use and once completed is regarded as the Event COVID Safety Plan.</w:t>
            </w:r>
          </w:p>
          <w:p w14:paraId="435EC47C" w14:textId="77777777" w:rsidR="000C7CC3" w:rsidRPr="000C7CC3" w:rsidRDefault="000C7CC3" w:rsidP="000C7CC3">
            <w:pPr>
              <w:numPr>
                <w:ilvl w:val="0"/>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Density limits of one person per two square metres will apply for all indoor spaces (excluding staff).</w:t>
            </w:r>
          </w:p>
          <w:p w14:paraId="25A49BD8" w14:textId="77777777" w:rsidR="000C7CC3" w:rsidRPr="000C7CC3" w:rsidRDefault="000C7CC3" w:rsidP="000C7CC3">
            <w:pPr>
              <w:numPr>
                <w:ilvl w:val="0"/>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Events over 1,000 people must be ticketed or pre-registered (smaller events must use the </w:t>
            </w:r>
            <w:hyperlink r:id="rId11" w:tgtFrame="_blank" w:history="1">
              <w:r w:rsidRPr="000C7CC3">
                <w:rPr>
                  <w:rFonts w:ascii="Source Sans Pro" w:eastAsia="Times New Roman" w:hAnsi="Source Sans Pro" w:cs="Times New Roman"/>
                  <w:color w:val="313131"/>
                  <w:sz w:val="27"/>
                  <w:szCs w:val="27"/>
                  <w:u w:val="single"/>
                  <w:lang w:eastAsia="en-AU"/>
                </w:rPr>
                <w:t>Check in CBR app</w:t>
              </w:r>
            </w:hyperlink>
            <w:r w:rsidRPr="000C7CC3">
              <w:rPr>
                <w:rFonts w:ascii="Source Sans Pro" w:eastAsia="Times New Roman" w:hAnsi="Source Sans Pro" w:cs="Times New Roman"/>
                <w:color w:val="313131"/>
                <w:sz w:val="27"/>
                <w:szCs w:val="27"/>
                <w:lang w:eastAsia="en-AU"/>
              </w:rPr>
              <w:t>).</w:t>
            </w:r>
          </w:p>
          <w:p w14:paraId="36FB7C4B" w14:textId="77777777" w:rsidR="000C7CC3" w:rsidRPr="000C7CC3" w:rsidRDefault="000C7CC3" w:rsidP="000C7CC3">
            <w:pPr>
              <w:numPr>
                <w:ilvl w:val="0"/>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Events of between 1,000 and 2,000 people must submit their </w:t>
            </w:r>
            <w:hyperlink r:id="rId12" w:tgtFrame="_blank" w:history="1">
              <w:r w:rsidRPr="000C7CC3">
                <w:rPr>
                  <w:rFonts w:ascii="Source Sans Pro" w:eastAsia="Times New Roman" w:hAnsi="Source Sans Pro" w:cs="Times New Roman"/>
                  <w:color w:val="313131"/>
                  <w:sz w:val="27"/>
                  <w:szCs w:val="27"/>
                  <w:u w:val="single"/>
                  <w:lang w:eastAsia="en-AU"/>
                </w:rPr>
                <w:t>COVID Safety Plan</w:t>
              </w:r>
            </w:hyperlink>
            <w:r w:rsidRPr="000C7CC3">
              <w:rPr>
                <w:rFonts w:ascii="Source Sans Pro" w:eastAsia="Times New Roman" w:hAnsi="Source Sans Pro" w:cs="Times New Roman"/>
                <w:color w:val="313131"/>
                <w:sz w:val="27"/>
                <w:szCs w:val="27"/>
                <w:lang w:eastAsia="en-AU"/>
              </w:rPr>
              <w:t> to ACT Health.</w:t>
            </w:r>
          </w:p>
          <w:p w14:paraId="68DC2661" w14:textId="77777777" w:rsidR="000C7CC3" w:rsidRPr="000C7CC3" w:rsidRDefault="000C7CC3" w:rsidP="000C7CC3">
            <w:pPr>
              <w:numPr>
                <w:ilvl w:val="0"/>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Events and gatherings greater than 2,000 people must seek an exemption, in accordance with the COVID Safe Event Guidance.</w:t>
            </w:r>
          </w:p>
          <w:p w14:paraId="60B94EF9" w14:textId="77777777" w:rsidR="000C7CC3" w:rsidRPr="000C7CC3" w:rsidRDefault="000C7CC3" w:rsidP="000C7CC3">
            <w:pPr>
              <w:numPr>
                <w:ilvl w:val="1"/>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Density limits may need to be applied to larger events being held in outdoor spaces.</w:t>
            </w:r>
          </w:p>
          <w:p w14:paraId="40178A56" w14:textId="77777777" w:rsidR="000C7CC3" w:rsidRPr="000C7CC3" w:rsidRDefault="000C7CC3" w:rsidP="000C7CC3">
            <w:pPr>
              <w:numPr>
                <w:ilvl w:val="1"/>
                <w:numId w:val="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capacity limits on the size of events that will be considered for an exemption, but event organisers must work closely with ACT Health and other relevant ACT Government agencies in the development of event COVID Safety Plans.</w:t>
            </w:r>
          </w:p>
        </w:tc>
      </w:tr>
      <w:tr w:rsidR="000C7CC3" w:rsidRPr="000C7CC3" w14:paraId="72EE556E"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F8FD1E4" w14:textId="77777777" w:rsidR="000C7CC3" w:rsidRPr="000C7CC3" w:rsidRDefault="000C7CC3" w:rsidP="000C7CC3">
            <w:pPr>
              <w:spacing w:after="0"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Travel </w:t>
            </w: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B741840"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Interstate travel</w:t>
            </w:r>
          </w:p>
          <w:p w14:paraId="2FD35C57" w14:textId="77777777" w:rsidR="000C7CC3" w:rsidRPr="000C7CC3" w:rsidRDefault="000C7CC3" w:rsidP="000C7CC3">
            <w:pPr>
              <w:numPr>
                <w:ilvl w:val="0"/>
                <w:numId w:val="6"/>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lastRenderedPageBreak/>
              <w:t>There are currently no restrictions on interstate travel to the ACT.</w:t>
            </w:r>
          </w:p>
          <w:p w14:paraId="5A8A50A4" w14:textId="77777777" w:rsidR="000C7CC3" w:rsidRPr="000C7CC3" w:rsidRDefault="000C7CC3" w:rsidP="000C7CC3">
            <w:pPr>
              <w:numPr>
                <w:ilvl w:val="0"/>
                <w:numId w:val="6"/>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Persons who are currently under quarantine or isolation requirements seeking to travel to the ACT should refer to the </w:t>
            </w:r>
            <w:hyperlink r:id="rId13" w:tgtFrame="_blank" w:history="1">
              <w:r w:rsidRPr="000C7CC3">
                <w:rPr>
                  <w:rFonts w:ascii="Source Sans Pro" w:eastAsia="Times New Roman" w:hAnsi="Source Sans Pro" w:cs="Times New Roman"/>
                  <w:color w:val="313131"/>
                  <w:sz w:val="27"/>
                  <w:szCs w:val="27"/>
                  <w:u w:val="single"/>
                  <w:lang w:eastAsia="en-AU"/>
                </w:rPr>
                <w:t>Entering and Leaving the ACT page</w:t>
              </w:r>
            </w:hyperlink>
            <w:r w:rsidRPr="000C7CC3">
              <w:rPr>
                <w:rFonts w:ascii="Source Sans Pro" w:eastAsia="Times New Roman" w:hAnsi="Source Sans Pro" w:cs="Times New Roman"/>
                <w:color w:val="313131"/>
                <w:sz w:val="27"/>
                <w:szCs w:val="27"/>
                <w:lang w:eastAsia="en-AU"/>
              </w:rPr>
              <w:t> for further information.</w:t>
            </w:r>
          </w:p>
          <w:p w14:paraId="07449805"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hyperlink r:id="rId14" w:history="1">
              <w:r w:rsidRPr="000C7CC3">
                <w:rPr>
                  <w:rFonts w:ascii="Source Sans Pro" w:eastAsia="Times New Roman" w:hAnsi="Source Sans Pro" w:cs="Times New Roman"/>
                  <w:b/>
                  <w:bCs/>
                  <w:color w:val="313131"/>
                  <w:sz w:val="27"/>
                  <w:szCs w:val="27"/>
                  <w:lang w:eastAsia="en-AU"/>
                </w:rPr>
                <w:t>International travel</w:t>
              </w:r>
            </w:hyperlink>
          </w:p>
          <w:p w14:paraId="6D88B5A1" w14:textId="77777777" w:rsidR="000C7CC3" w:rsidRPr="000C7CC3" w:rsidRDefault="000C7CC3" w:rsidP="000C7CC3">
            <w:pPr>
              <w:numPr>
                <w:ilvl w:val="0"/>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Fully vaccinated travellers who are returning from overseas and want to enter the ACT must first follow the requirements of the jurisdiction of their port of entry.</w:t>
            </w:r>
          </w:p>
          <w:p w14:paraId="30ACDC12" w14:textId="77777777" w:rsidR="000C7CC3" w:rsidRPr="000C7CC3" w:rsidRDefault="000C7CC3" w:rsidP="000C7CC3">
            <w:pPr>
              <w:numPr>
                <w:ilvl w:val="0"/>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If travellers are permitted to travel to the ACT, they must:</w:t>
            </w:r>
          </w:p>
          <w:p w14:paraId="72837EAB" w14:textId="77777777" w:rsidR="000C7CC3" w:rsidRPr="000C7CC3" w:rsidRDefault="000C7CC3" w:rsidP="000C7CC3">
            <w:pPr>
              <w:numPr>
                <w:ilvl w:val="1"/>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Complete an online </w:t>
            </w:r>
            <w:hyperlink r:id="rId15" w:anchor="Declaration-form" w:tgtFrame="_blank" w:history="1">
              <w:r w:rsidRPr="000C7CC3">
                <w:rPr>
                  <w:rFonts w:ascii="Source Sans Pro" w:eastAsia="Times New Roman" w:hAnsi="Source Sans Pro" w:cs="Times New Roman"/>
                  <w:color w:val="313131"/>
                  <w:sz w:val="27"/>
                  <w:szCs w:val="27"/>
                  <w:u w:val="single"/>
                  <w:lang w:eastAsia="en-AU"/>
                </w:rPr>
                <w:t>declaration form</w:t>
              </w:r>
            </w:hyperlink>
            <w:r w:rsidRPr="000C7CC3">
              <w:rPr>
                <w:rFonts w:ascii="Source Sans Pro" w:eastAsia="Times New Roman" w:hAnsi="Source Sans Pro" w:cs="Times New Roman"/>
                <w:color w:val="313131"/>
                <w:sz w:val="27"/>
                <w:szCs w:val="27"/>
                <w:lang w:eastAsia="en-AU"/>
              </w:rPr>
              <w:t> within 24 hours of arrival into the ACT.</w:t>
            </w:r>
          </w:p>
          <w:p w14:paraId="399F680C" w14:textId="77777777" w:rsidR="000C7CC3" w:rsidRPr="000C7CC3" w:rsidRDefault="000C7CC3" w:rsidP="000C7CC3">
            <w:pPr>
              <w:numPr>
                <w:ilvl w:val="1"/>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Undergo a COVID-19 Rapid Antigen Test (RAT) or PCR test within 24 hours of arrival in Australia and quarantine until a negative test result is received.</w:t>
            </w:r>
          </w:p>
          <w:p w14:paraId="33676D00" w14:textId="77777777" w:rsidR="000C7CC3" w:rsidRPr="000C7CC3" w:rsidRDefault="000C7CC3" w:rsidP="000C7CC3">
            <w:pPr>
              <w:numPr>
                <w:ilvl w:val="0"/>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International travellers who are not fully vaccinated must quarantine for 14 days at their port of entry.</w:t>
            </w:r>
          </w:p>
          <w:p w14:paraId="21CD6E45" w14:textId="77777777" w:rsidR="000C7CC3" w:rsidRPr="000C7CC3" w:rsidRDefault="000C7CC3" w:rsidP="000C7CC3">
            <w:pPr>
              <w:numPr>
                <w:ilvl w:val="1"/>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We will only consider exemptions to travel to the ACT to complete quarantine in exceptional circumstances.</w:t>
            </w:r>
          </w:p>
          <w:p w14:paraId="610C1BAA" w14:textId="77777777" w:rsidR="000C7CC3" w:rsidRPr="000C7CC3" w:rsidRDefault="000C7CC3" w:rsidP="000C7CC3">
            <w:pPr>
              <w:numPr>
                <w:ilvl w:val="0"/>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Travellers are not permitted to enter high risk settings for 14 days following arrival into Australia.</w:t>
            </w:r>
          </w:p>
          <w:p w14:paraId="288E375B" w14:textId="77777777" w:rsidR="000C7CC3" w:rsidRPr="000C7CC3" w:rsidRDefault="000C7CC3" w:rsidP="000C7CC3">
            <w:pPr>
              <w:numPr>
                <w:ilvl w:val="0"/>
                <w:numId w:val="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More detailed guidance for travellers arriving from overseas and who wish to enter the ACT can be accessed on the </w:t>
            </w:r>
            <w:hyperlink r:id="rId16" w:tgtFrame="_blank" w:history="1">
              <w:r w:rsidRPr="000C7CC3">
                <w:rPr>
                  <w:rFonts w:ascii="Source Sans Pro" w:eastAsia="Times New Roman" w:hAnsi="Source Sans Pro" w:cs="Times New Roman"/>
                  <w:color w:val="313131"/>
                  <w:sz w:val="27"/>
                  <w:szCs w:val="27"/>
                  <w:u w:val="single"/>
                  <w:lang w:eastAsia="en-AU"/>
                </w:rPr>
                <w:t>Overseas travel page.</w:t>
              </w:r>
            </w:hyperlink>
          </w:p>
        </w:tc>
      </w:tr>
      <w:tr w:rsidR="000C7CC3" w:rsidRPr="000C7CC3" w14:paraId="0FF8E590"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C503FB8" w14:textId="77777777" w:rsidR="000C7CC3" w:rsidRPr="000C7CC3" w:rsidRDefault="000C7CC3" w:rsidP="000C7CC3">
            <w:pPr>
              <w:spacing w:after="0"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lastRenderedPageBreak/>
              <w:t>Work</w:t>
            </w: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DA938E7" w14:textId="77777777" w:rsidR="000C7CC3" w:rsidRPr="000C7CC3" w:rsidRDefault="000C7CC3" w:rsidP="000C7CC3">
            <w:pPr>
              <w:numPr>
                <w:ilvl w:val="0"/>
                <w:numId w:val="8"/>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From 30 December 2021: Canberrans are encouraged to work from home where it suits the employee and the employer to do so. It is recognised that many employees may need to return to the workplace to meet business needs or for their own wellbeing, however working from home wherever possible will help to reduce transmission.</w:t>
            </w:r>
          </w:p>
        </w:tc>
      </w:tr>
      <w:tr w:rsidR="000C7CC3" w:rsidRPr="000C7CC3" w14:paraId="6519E4F3" w14:textId="77777777" w:rsidTr="000C7CC3">
        <w:tc>
          <w:tcPr>
            <w:tcW w:w="0" w:type="auto"/>
            <w:vMerge w:val="restar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5A8B91AA"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Education and Childcare</w:t>
            </w:r>
          </w:p>
          <w:p w14:paraId="3760041F"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hyperlink r:id="rId17" w:tgtFrame="_blank" w:history="1">
              <w:r w:rsidRPr="000C7CC3">
                <w:rPr>
                  <w:rFonts w:ascii="Source Sans Pro" w:eastAsia="Times New Roman" w:hAnsi="Source Sans Pro" w:cs="Times New Roman"/>
                  <w:color w:val="313131"/>
                  <w:sz w:val="27"/>
                  <w:szCs w:val="27"/>
                  <w:u w:val="single"/>
                  <w:lang w:eastAsia="en-AU"/>
                </w:rPr>
                <w:t>READ: Health guidelines for schools</w:t>
              </w:r>
            </w:hyperlink>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98AD92C"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Early Childhood Education and Care:</w:t>
            </w:r>
          </w:p>
          <w:p w14:paraId="5EBA6ADD" w14:textId="77777777" w:rsidR="000C7CC3" w:rsidRPr="000C7CC3" w:rsidRDefault="000C7CC3" w:rsidP="000C7CC3">
            <w:pPr>
              <w:numPr>
                <w:ilvl w:val="0"/>
                <w:numId w:val="9"/>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Back to on campus learning, in accordance with Health Guidelines for ECECs and Schools.</w:t>
            </w:r>
          </w:p>
          <w:p w14:paraId="30A2801F" w14:textId="77777777" w:rsidR="000C7CC3" w:rsidRPr="000C7CC3" w:rsidRDefault="000C7CC3" w:rsidP="000C7CC3">
            <w:pPr>
              <w:numPr>
                <w:ilvl w:val="0"/>
                <w:numId w:val="9"/>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End of year school events can take place in accordance with the End of Year Event Guidelines for Schools.</w:t>
            </w:r>
          </w:p>
        </w:tc>
      </w:tr>
      <w:tr w:rsidR="000C7CC3" w:rsidRPr="000C7CC3" w14:paraId="1FDA1BF5"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F0F3F5"/>
            <w:vAlign w:val="center"/>
            <w:hideMark/>
          </w:tcPr>
          <w:p w14:paraId="2D712741"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8FBAE72"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Schools:</w:t>
            </w:r>
          </w:p>
          <w:p w14:paraId="1A603058" w14:textId="77777777" w:rsidR="000C7CC3" w:rsidRPr="000C7CC3" w:rsidRDefault="000C7CC3" w:rsidP="000C7CC3">
            <w:pPr>
              <w:numPr>
                <w:ilvl w:val="0"/>
                <w:numId w:val="10"/>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Back to on campus learning, in accordance with Health Guidelines for ECECs and Schools.</w:t>
            </w:r>
          </w:p>
          <w:p w14:paraId="772B6D24" w14:textId="77777777" w:rsidR="000C7CC3" w:rsidRPr="000C7CC3" w:rsidRDefault="000C7CC3" w:rsidP="000C7CC3">
            <w:pPr>
              <w:numPr>
                <w:ilvl w:val="0"/>
                <w:numId w:val="10"/>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Out of School Hours care available to all students.</w:t>
            </w:r>
          </w:p>
          <w:p w14:paraId="580701BA" w14:textId="77777777" w:rsidR="000C7CC3" w:rsidRPr="000C7CC3" w:rsidRDefault="000C7CC3" w:rsidP="000C7CC3">
            <w:pPr>
              <w:numPr>
                <w:ilvl w:val="0"/>
                <w:numId w:val="10"/>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End of year school events can take place in accordance with the End of Year Event Guidelines for Schools.</w:t>
            </w:r>
          </w:p>
        </w:tc>
      </w:tr>
      <w:tr w:rsidR="000C7CC3" w:rsidRPr="000C7CC3" w14:paraId="54A535AC"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0D6F4240"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004D463B"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Higher Education and Training</w:t>
            </w:r>
            <w:r w:rsidRPr="000C7CC3">
              <w:rPr>
                <w:rFonts w:ascii="Source Sans Pro" w:eastAsia="Times New Roman" w:hAnsi="Source Sans Pro" w:cs="Times New Roman"/>
                <w:color w:val="313131"/>
                <w:sz w:val="27"/>
                <w:szCs w:val="27"/>
                <w:lang w:eastAsia="en-AU"/>
              </w:rPr>
              <w:t>:</w:t>
            </w:r>
          </w:p>
          <w:p w14:paraId="2F8BE2A8" w14:textId="77777777" w:rsidR="000C7CC3" w:rsidRPr="000C7CC3" w:rsidRDefault="000C7CC3" w:rsidP="000C7CC3">
            <w:pPr>
              <w:numPr>
                <w:ilvl w:val="0"/>
                <w:numId w:val="11"/>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Back to on campus learning as determined by the facility.</w:t>
            </w:r>
          </w:p>
          <w:p w14:paraId="24831ABB" w14:textId="77777777" w:rsidR="000C7CC3" w:rsidRPr="000C7CC3" w:rsidRDefault="000C7CC3" w:rsidP="000C7CC3">
            <w:pPr>
              <w:numPr>
                <w:ilvl w:val="0"/>
                <w:numId w:val="11"/>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Density limits apply (one person per two square metres in all indoor spaces).</w:t>
            </w:r>
          </w:p>
        </w:tc>
      </w:tr>
      <w:tr w:rsidR="000C7CC3" w:rsidRPr="000C7CC3" w14:paraId="6F3E0F64" w14:textId="77777777" w:rsidTr="000C7CC3">
        <w:tc>
          <w:tcPr>
            <w:tcW w:w="0" w:type="auto"/>
            <w:vMerge w:val="restar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108FB19"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Public Transport</w:t>
            </w: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3095D256"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Buses and Light Rail:</w:t>
            </w:r>
          </w:p>
          <w:p w14:paraId="7EB3086D" w14:textId="77777777" w:rsidR="000C7CC3" w:rsidRPr="000C7CC3" w:rsidRDefault="000C7CC3" w:rsidP="000C7CC3">
            <w:pPr>
              <w:numPr>
                <w:ilvl w:val="0"/>
                <w:numId w:val="12"/>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lastRenderedPageBreak/>
              <w:t>Summer holiday timetable.</w:t>
            </w:r>
          </w:p>
          <w:p w14:paraId="35573FF9" w14:textId="77777777" w:rsidR="000C7CC3" w:rsidRPr="000C7CC3" w:rsidRDefault="000C7CC3" w:rsidP="000C7CC3">
            <w:pPr>
              <w:numPr>
                <w:ilvl w:val="0"/>
                <w:numId w:val="12"/>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Light rail services operating as normal.</w:t>
            </w:r>
          </w:p>
        </w:tc>
      </w:tr>
      <w:tr w:rsidR="000C7CC3" w:rsidRPr="000C7CC3" w14:paraId="6EFB2001"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3AE16AA9"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74C5AEA2"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Taxis, Hire Car and Ride Share Services</w:t>
            </w:r>
          </w:p>
          <w:p w14:paraId="5EC96380" w14:textId="77777777" w:rsidR="000C7CC3" w:rsidRPr="000C7CC3" w:rsidRDefault="000C7CC3" w:rsidP="000C7CC3">
            <w:pPr>
              <w:numPr>
                <w:ilvl w:val="0"/>
                <w:numId w:val="13"/>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Operating as normal.</w:t>
            </w:r>
          </w:p>
        </w:tc>
      </w:tr>
      <w:tr w:rsidR="000C7CC3" w:rsidRPr="000C7CC3" w14:paraId="39833A01" w14:textId="77777777" w:rsidTr="000C7CC3">
        <w:tc>
          <w:tcPr>
            <w:tcW w:w="0" w:type="auto"/>
            <w:vMerge w:val="restart"/>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B5200D3"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Hospitality and Licensed Venues</w:t>
            </w: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43F6A24D"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Licensed Venues, Cafes, Restaurants and Food Courts</w:t>
            </w:r>
          </w:p>
          <w:p w14:paraId="67BD435B" w14:textId="77777777" w:rsidR="000C7CC3" w:rsidRPr="000C7CC3" w:rsidRDefault="000C7CC3" w:rsidP="000C7CC3">
            <w:pPr>
              <w:numPr>
                <w:ilvl w:val="0"/>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25 people across the venue before density limits apply (exc staff).</w:t>
            </w:r>
          </w:p>
          <w:p w14:paraId="62CDDCAA" w14:textId="77777777" w:rsidR="000C7CC3" w:rsidRPr="000C7CC3" w:rsidRDefault="000C7CC3" w:rsidP="000C7CC3">
            <w:pPr>
              <w:numPr>
                <w:ilvl w:val="0"/>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If businesses wish to have more than 25 people, they can apply:</w:t>
            </w:r>
          </w:p>
          <w:p w14:paraId="0E974119" w14:textId="77777777" w:rsidR="000C7CC3" w:rsidRPr="000C7CC3" w:rsidRDefault="000C7CC3" w:rsidP="000C7CC3">
            <w:pPr>
              <w:numPr>
                <w:ilvl w:val="1"/>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One person per two square metres per usable indoor space (exc staff).</w:t>
            </w:r>
          </w:p>
          <w:p w14:paraId="5BA91FAA" w14:textId="77777777" w:rsidR="000C7CC3" w:rsidRPr="000C7CC3" w:rsidRDefault="000C7CC3" w:rsidP="000C7CC3">
            <w:pPr>
              <w:numPr>
                <w:ilvl w:val="1"/>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density limits apply to outdoor spaces.</w:t>
            </w:r>
          </w:p>
          <w:p w14:paraId="0230B6D2" w14:textId="77777777" w:rsidR="000C7CC3" w:rsidRPr="000C7CC3" w:rsidRDefault="000C7CC3" w:rsidP="000C7CC3">
            <w:pPr>
              <w:numPr>
                <w:ilvl w:val="0"/>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Patrons must be seated while eating and drinking. This applies to indoor and outdoor spaces.</w:t>
            </w:r>
          </w:p>
          <w:p w14:paraId="21E245A5" w14:textId="77777777" w:rsidR="000C7CC3" w:rsidRPr="000C7CC3" w:rsidRDefault="000C7CC3" w:rsidP="000C7CC3">
            <w:pPr>
              <w:numPr>
                <w:ilvl w:val="0"/>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Dancing is not permitted.</w:t>
            </w:r>
          </w:p>
          <w:p w14:paraId="00969CFF" w14:textId="77777777" w:rsidR="000C7CC3" w:rsidRPr="000C7CC3" w:rsidRDefault="000C7CC3" w:rsidP="000C7CC3">
            <w:pPr>
              <w:numPr>
                <w:ilvl w:val="0"/>
                <w:numId w:val="15"/>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Venues to display a sign at the entrance of each space specifying occupancy limit for any indoor spaces.</w:t>
            </w:r>
          </w:p>
          <w:p w14:paraId="2D1182C8"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Food Courts</w:t>
            </w:r>
          </w:p>
          <w:p w14:paraId="13D30994" w14:textId="77777777" w:rsidR="000C7CC3" w:rsidRPr="000C7CC3" w:rsidRDefault="000C7CC3" w:rsidP="000C7CC3">
            <w:pPr>
              <w:numPr>
                <w:ilvl w:val="0"/>
                <w:numId w:val="16"/>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Can apply one person per two square metres within each indoor space</w:t>
            </w:r>
          </w:p>
          <w:p w14:paraId="2223265B" w14:textId="77777777" w:rsidR="000C7CC3" w:rsidRPr="000C7CC3" w:rsidRDefault="000C7CC3" w:rsidP="000C7CC3">
            <w:pPr>
              <w:numPr>
                <w:ilvl w:val="0"/>
                <w:numId w:val="16"/>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Patrons must be seated while eating and drinking. This applies to indoor and outdoor spaces.</w:t>
            </w:r>
          </w:p>
        </w:tc>
      </w:tr>
      <w:tr w:rsidR="000C7CC3" w:rsidRPr="000C7CC3" w14:paraId="641C2C4D"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7A54F863"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shd w:val="clear" w:color="auto" w:fill="auto"/>
            <w:vAlign w:val="center"/>
            <w:hideMark/>
          </w:tcPr>
          <w:p w14:paraId="28C9E328" w14:textId="77777777" w:rsidR="000C7CC3" w:rsidRPr="000C7CC3" w:rsidRDefault="000C7CC3" w:rsidP="000C7CC3">
            <w:pPr>
              <w:spacing w:after="0" w:line="240" w:lineRule="auto"/>
              <w:rPr>
                <w:rFonts w:ascii="Times New Roman" w:eastAsia="Times New Roman" w:hAnsi="Times New Roman" w:cs="Times New Roman"/>
                <w:sz w:val="20"/>
                <w:szCs w:val="20"/>
                <w:lang w:eastAsia="en-AU"/>
              </w:rPr>
            </w:pPr>
          </w:p>
        </w:tc>
      </w:tr>
    </w:tbl>
    <w:p w14:paraId="4AEEFA1D" w14:textId="33C35071" w:rsidR="00540FDB" w:rsidRDefault="00540FDB"/>
    <w:tbl>
      <w:tblPr>
        <w:tblW w:w="14832" w:type="dxa"/>
        <w:tblBorders>
          <w:top w:val="single" w:sz="6" w:space="0" w:color="C5C5C5"/>
          <w:left w:val="single" w:sz="6" w:space="0" w:color="C5C5C5"/>
          <w:bottom w:val="single" w:sz="6" w:space="0" w:color="C5C5C5"/>
          <w:right w:val="single" w:sz="6" w:space="0" w:color="C5C5C5"/>
        </w:tblBorders>
        <w:tblCellMar>
          <w:top w:w="15" w:type="dxa"/>
          <w:left w:w="15" w:type="dxa"/>
          <w:bottom w:w="15" w:type="dxa"/>
          <w:right w:w="15" w:type="dxa"/>
        </w:tblCellMar>
        <w:tblLook w:val="04A0" w:firstRow="1" w:lastRow="0" w:firstColumn="1" w:lastColumn="0" w:noHBand="0" w:noVBand="1"/>
      </w:tblPr>
      <w:tblGrid>
        <w:gridCol w:w="3200"/>
        <w:gridCol w:w="11632"/>
      </w:tblGrid>
      <w:tr w:rsidR="000C7CC3" w:rsidRPr="000C7CC3" w14:paraId="2F5D6CC5" w14:textId="77777777" w:rsidTr="000C7CC3">
        <w:tc>
          <w:tcPr>
            <w:tcW w:w="0" w:type="auto"/>
            <w:vMerge w:val="restart"/>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759EF875"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Places of Worship, Weddings and Funerals</w:t>
            </w:r>
          </w:p>
        </w:tc>
        <w:tc>
          <w:tcPr>
            <w:tcW w:w="0" w:type="auto"/>
            <w:tcBorders>
              <w:top w:val="single" w:sz="6" w:space="0" w:color="C5C5C5"/>
              <w:left w:val="single" w:sz="6" w:space="0" w:color="C5C5C5"/>
              <w:bottom w:val="single" w:sz="6" w:space="0" w:color="C5C5C5"/>
              <w:right w:val="single" w:sz="6" w:space="0" w:color="C5C5C5"/>
            </w:tcBorders>
            <w:shd w:val="clear" w:color="auto" w:fill="F0F3F5"/>
            <w:tcMar>
              <w:top w:w="192" w:type="dxa"/>
              <w:left w:w="192" w:type="dxa"/>
              <w:bottom w:w="192" w:type="dxa"/>
              <w:right w:w="192" w:type="dxa"/>
            </w:tcMar>
            <w:hideMark/>
          </w:tcPr>
          <w:p w14:paraId="6EAE88E0"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Places of Worship</w:t>
            </w:r>
          </w:p>
          <w:p w14:paraId="38C5FAA1" w14:textId="77777777" w:rsidR="000C7CC3" w:rsidRPr="000C7CC3" w:rsidRDefault="000C7CC3" w:rsidP="000C7CC3">
            <w:pPr>
              <w:numPr>
                <w:ilvl w:val="0"/>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25 people across the venue before density limits apply (exc staff).</w:t>
            </w:r>
          </w:p>
          <w:p w14:paraId="1E2CB2B4" w14:textId="77777777" w:rsidR="000C7CC3" w:rsidRPr="000C7CC3" w:rsidRDefault="000C7CC3" w:rsidP="000C7CC3">
            <w:pPr>
              <w:numPr>
                <w:ilvl w:val="0"/>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If places of worship wish to have more than 25 people, they can apply:</w:t>
            </w:r>
          </w:p>
          <w:p w14:paraId="33D0706B" w14:textId="77777777" w:rsidR="000C7CC3" w:rsidRPr="000C7CC3" w:rsidRDefault="000C7CC3" w:rsidP="000C7CC3">
            <w:pPr>
              <w:numPr>
                <w:ilvl w:val="1"/>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One person per two square metres per usable indoor space (exc staff).</w:t>
            </w:r>
          </w:p>
          <w:p w14:paraId="5E758838" w14:textId="77777777" w:rsidR="000C7CC3" w:rsidRPr="000C7CC3" w:rsidRDefault="000C7CC3" w:rsidP="000C7CC3">
            <w:pPr>
              <w:numPr>
                <w:ilvl w:val="1"/>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density limits apply to outdoor spaces.</w:t>
            </w:r>
          </w:p>
          <w:p w14:paraId="5DF7B3E5" w14:textId="77777777" w:rsidR="000C7CC3" w:rsidRPr="000C7CC3" w:rsidRDefault="000C7CC3" w:rsidP="000C7CC3">
            <w:pPr>
              <w:numPr>
                <w:ilvl w:val="0"/>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Choirs should continue to maintain physical distancing from congregation while singing.</w:t>
            </w:r>
          </w:p>
          <w:p w14:paraId="02BD3315" w14:textId="77777777" w:rsidR="000C7CC3" w:rsidRPr="000C7CC3" w:rsidRDefault="000C7CC3" w:rsidP="000C7CC3">
            <w:pPr>
              <w:numPr>
                <w:ilvl w:val="0"/>
                <w:numId w:val="17"/>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Maintain COVID Safe behaviours such as hand and respiratory hygiene, physical distancing, face mask use and check in where required.</w:t>
            </w:r>
          </w:p>
        </w:tc>
      </w:tr>
      <w:tr w:rsidR="000C7CC3" w:rsidRPr="000C7CC3" w14:paraId="61299EB1"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2E2287A1"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shd w:val="clear" w:color="auto" w:fill="auto"/>
            <w:vAlign w:val="center"/>
            <w:hideMark/>
          </w:tcPr>
          <w:p w14:paraId="7DB9EF98" w14:textId="77777777" w:rsidR="000C7CC3" w:rsidRPr="000C7CC3" w:rsidRDefault="000C7CC3" w:rsidP="000C7CC3">
            <w:pPr>
              <w:spacing w:after="0" w:line="240" w:lineRule="auto"/>
              <w:rPr>
                <w:rFonts w:ascii="Times New Roman" w:eastAsia="Times New Roman" w:hAnsi="Times New Roman" w:cs="Times New Roman"/>
                <w:sz w:val="20"/>
                <w:szCs w:val="20"/>
                <w:lang w:eastAsia="en-AU"/>
              </w:rPr>
            </w:pPr>
          </w:p>
        </w:tc>
      </w:tr>
      <w:tr w:rsidR="000C7CC3" w:rsidRPr="000C7CC3" w14:paraId="0C78464A"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2E9A9218"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Community and Cultural Facilities, Activities and Attractions</w:t>
            </w:r>
          </w:p>
        </w:tc>
        <w:tc>
          <w:tcPr>
            <w:tcW w:w="0" w:type="auto"/>
            <w:tcBorders>
              <w:right w:val="single" w:sz="6" w:space="0" w:color="C5C5C5"/>
            </w:tcBorders>
            <w:shd w:val="clear" w:color="auto" w:fill="auto"/>
            <w:vAlign w:val="center"/>
            <w:hideMark/>
          </w:tcPr>
          <w:p w14:paraId="7AE3628E" w14:textId="77777777" w:rsidR="000C7CC3" w:rsidRPr="000C7CC3" w:rsidRDefault="000C7CC3" w:rsidP="000C7CC3">
            <w:pPr>
              <w:spacing w:after="384"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Libraries</w:t>
            </w:r>
          </w:p>
          <w:p w14:paraId="0048D880" w14:textId="77777777" w:rsidR="000C7CC3" w:rsidRPr="000C7CC3" w:rsidRDefault="000C7CC3" w:rsidP="000C7CC3">
            <w:pPr>
              <w:numPr>
                <w:ilvl w:val="0"/>
                <w:numId w:val="18"/>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25 people across the venue before density limits apply (exc staff).</w:t>
            </w:r>
          </w:p>
          <w:p w14:paraId="05A6642B" w14:textId="77777777" w:rsidR="000C7CC3" w:rsidRPr="000C7CC3" w:rsidRDefault="000C7CC3" w:rsidP="000C7CC3">
            <w:pPr>
              <w:numPr>
                <w:ilvl w:val="0"/>
                <w:numId w:val="18"/>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If Libraries wish to have more than 25 people, they can apply:</w:t>
            </w:r>
          </w:p>
          <w:p w14:paraId="5B5D8BE7" w14:textId="77777777" w:rsidR="000C7CC3" w:rsidRPr="000C7CC3" w:rsidRDefault="000C7CC3" w:rsidP="000C7CC3">
            <w:pPr>
              <w:numPr>
                <w:ilvl w:val="1"/>
                <w:numId w:val="18"/>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One person per two square metres per usable indoor space (exc staff), and</w:t>
            </w:r>
          </w:p>
          <w:p w14:paraId="2ECD13AB" w14:textId="77777777" w:rsidR="000C7CC3" w:rsidRPr="000C7CC3" w:rsidRDefault="000C7CC3" w:rsidP="000C7CC3">
            <w:pPr>
              <w:numPr>
                <w:ilvl w:val="1"/>
                <w:numId w:val="18"/>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No density limits apply to outdoor spaces.</w:t>
            </w:r>
          </w:p>
        </w:tc>
      </w:tr>
      <w:tr w:rsidR="000C7CC3" w:rsidRPr="000C7CC3" w14:paraId="3E51C1D5" w14:textId="77777777" w:rsidTr="000C7CC3">
        <w:tc>
          <w:tcPr>
            <w:tcW w:w="0" w:type="auto"/>
            <w:vMerge/>
            <w:tcBorders>
              <w:top w:val="single" w:sz="6" w:space="0" w:color="C5C5C5"/>
              <w:left w:val="single" w:sz="6" w:space="0" w:color="C5C5C5"/>
              <w:bottom w:val="single" w:sz="6" w:space="0" w:color="C5C5C5"/>
              <w:right w:val="single" w:sz="6" w:space="0" w:color="C5C5C5"/>
            </w:tcBorders>
            <w:shd w:val="clear" w:color="auto" w:fill="auto"/>
            <w:vAlign w:val="center"/>
            <w:hideMark/>
          </w:tcPr>
          <w:p w14:paraId="7D2D3D13" w14:textId="77777777" w:rsidR="000C7CC3" w:rsidRPr="000C7CC3" w:rsidRDefault="000C7CC3" w:rsidP="000C7CC3">
            <w:pPr>
              <w:spacing w:after="0" w:line="240" w:lineRule="auto"/>
              <w:rPr>
                <w:rFonts w:ascii="Source Sans Pro" w:eastAsia="Times New Roman" w:hAnsi="Source Sans Pro" w:cs="Times New Roman"/>
                <w:color w:val="313131"/>
                <w:sz w:val="27"/>
                <w:szCs w:val="27"/>
                <w:lang w:eastAsia="en-AU"/>
              </w:rPr>
            </w:pPr>
          </w:p>
        </w:tc>
        <w:tc>
          <w:tcPr>
            <w:tcW w:w="0" w:type="auto"/>
            <w:tcBorders>
              <w:bottom w:val="single" w:sz="6" w:space="0" w:color="C5C5C5"/>
              <w:right w:val="single" w:sz="6" w:space="0" w:color="C5C5C5"/>
            </w:tcBorders>
            <w:shd w:val="clear" w:color="auto" w:fill="auto"/>
            <w:vAlign w:val="center"/>
            <w:hideMark/>
          </w:tcPr>
          <w:p w14:paraId="4B8D0AF2" w14:textId="77777777" w:rsidR="000C7CC3" w:rsidRPr="000C7CC3" w:rsidRDefault="000C7CC3" w:rsidP="000C7CC3">
            <w:pPr>
              <w:spacing w:after="384"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Community Centres, Facilities or Youth Centres</w:t>
            </w:r>
          </w:p>
          <w:p w14:paraId="7CE9C84B" w14:textId="77777777" w:rsidR="000C7CC3" w:rsidRPr="000C7CC3" w:rsidRDefault="000C7CC3" w:rsidP="000C7CC3">
            <w:pPr>
              <w:numPr>
                <w:ilvl w:val="0"/>
                <w:numId w:val="19"/>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25 people across the venue before density limits apply (exc staff).</w:t>
            </w:r>
          </w:p>
          <w:p w14:paraId="2FB5D20B" w14:textId="77777777" w:rsidR="000C7CC3" w:rsidRPr="000C7CC3" w:rsidRDefault="000C7CC3" w:rsidP="000C7CC3">
            <w:pPr>
              <w:numPr>
                <w:ilvl w:val="0"/>
                <w:numId w:val="19"/>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If facilities wish to have more than 25 people, they can apply:</w:t>
            </w:r>
          </w:p>
          <w:p w14:paraId="6D47BFF1" w14:textId="77777777" w:rsidR="000C7CC3" w:rsidRPr="000C7CC3" w:rsidRDefault="000C7CC3" w:rsidP="000C7CC3">
            <w:pPr>
              <w:numPr>
                <w:ilvl w:val="1"/>
                <w:numId w:val="19"/>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One person per two square metres per usable indoor space (exc staff)</w:t>
            </w:r>
          </w:p>
          <w:p w14:paraId="749B797B" w14:textId="77777777" w:rsidR="000C7CC3" w:rsidRPr="000C7CC3" w:rsidRDefault="000C7CC3" w:rsidP="000C7CC3">
            <w:pPr>
              <w:numPr>
                <w:ilvl w:val="1"/>
                <w:numId w:val="19"/>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lastRenderedPageBreak/>
              <w:t>No density limits apply to outdoor spaces.</w:t>
            </w:r>
          </w:p>
          <w:p w14:paraId="0B906A7C" w14:textId="77777777" w:rsidR="000C7CC3" w:rsidRPr="000C7CC3" w:rsidRDefault="000C7CC3" w:rsidP="000C7CC3">
            <w:pPr>
              <w:numPr>
                <w:ilvl w:val="0"/>
                <w:numId w:val="19"/>
              </w:numPr>
              <w:spacing w:before="100" w:beforeAutospacing="1" w:after="96" w:line="384" w:lineRule="atLeast"/>
              <w:rPr>
                <w:rFonts w:ascii="Source Sans Pro" w:eastAsia="Times New Roman" w:hAnsi="Source Sans Pro" w:cs="Times New Roman"/>
                <w:b/>
                <w:bCs/>
                <w:color w:val="313131"/>
                <w:sz w:val="27"/>
                <w:szCs w:val="27"/>
                <w:lang w:eastAsia="en-AU"/>
              </w:rPr>
            </w:pPr>
            <w:r w:rsidRPr="000C7CC3">
              <w:rPr>
                <w:rFonts w:ascii="Source Sans Pro" w:eastAsia="Times New Roman" w:hAnsi="Source Sans Pro" w:cs="Times New Roman"/>
                <w:b/>
                <w:bCs/>
                <w:color w:val="313131"/>
                <w:sz w:val="27"/>
                <w:szCs w:val="27"/>
                <w:lang w:eastAsia="en-AU"/>
              </w:rPr>
              <w:t>Activities being held in these facilities which are referenced elsewhere must comply with the conditions for those activities (eg. weddings, martial arts, sporting activities, and dance classes).</w:t>
            </w:r>
          </w:p>
        </w:tc>
      </w:tr>
    </w:tbl>
    <w:p w14:paraId="66F1D8D0" w14:textId="75A0E3F0" w:rsidR="000C7CC3" w:rsidRDefault="000C7CC3" w:rsidP="000C7CC3"/>
    <w:tbl>
      <w:tblPr>
        <w:tblW w:w="14832" w:type="dxa"/>
        <w:tblBorders>
          <w:top w:val="single" w:sz="6" w:space="0" w:color="C5C5C5"/>
          <w:left w:val="single" w:sz="6" w:space="0" w:color="C5C5C5"/>
          <w:bottom w:val="single" w:sz="6" w:space="0" w:color="C5C5C5"/>
          <w:right w:val="single" w:sz="6" w:space="0" w:color="C5C5C5"/>
        </w:tblBorders>
        <w:tblCellMar>
          <w:top w:w="15" w:type="dxa"/>
          <w:left w:w="15" w:type="dxa"/>
          <w:bottom w:w="15" w:type="dxa"/>
          <w:right w:w="15" w:type="dxa"/>
        </w:tblCellMar>
        <w:tblLook w:val="04A0" w:firstRow="1" w:lastRow="0" w:firstColumn="1" w:lastColumn="0" w:noHBand="0" w:noVBand="1"/>
      </w:tblPr>
      <w:tblGrid>
        <w:gridCol w:w="3040"/>
        <w:gridCol w:w="11792"/>
      </w:tblGrid>
      <w:tr w:rsidR="000C7CC3" w:rsidRPr="000C7CC3" w14:paraId="614E6BA9" w14:textId="77777777" w:rsidTr="000C7CC3">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32B89678"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Visitors to Hospital Facilities</w:t>
            </w:r>
          </w:p>
        </w:tc>
        <w:tc>
          <w:tcPr>
            <w:tcW w:w="0" w:type="auto"/>
            <w:tcBorders>
              <w:top w:val="single" w:sz="6" w:space="0" w:color="C5C5C5"/>
              <w:left w:val="single" w:sz="6" w:space="0" w:color="C5C5C5"/>
              <w:bottom w:val="single" w:sz="6" w:space="0" w:color="C5C5C5"/>
              <w:right w:val="single" w:sz="6" w:space="0" w:color="C5C5C5"/>
            </w:tcBorders>
            <w:shd w:val="clear" w:color="auto" w:fill="auto"/>
            <w:tcMar>
              <w:top w:w="192" w:type="dxa"/>
              <w:left w:w="192" w:type="dxa"/>
              <w:bottom w:w="192" w:type="dxa"/>
              <w:right w:w="192" w:type="dxa"/>
            </w:tcMar>
            <w:hideMark/>
          </w:tcPr>
          <w:p w14:paraId="6E713E60" w14:textId="77777777" w:rsidR="000C7CC3" w:rsidRPr="000C7CC3" w:rsidRDefault="000C7CC3" w:rsidP="000C7CC3">
            <w:pPr>
              <w:spacing w:after="384"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b/>
                <w:bCs/>
                <w:color w:val="313131"/>
                <w:sz w:val="27"/>
                <w:szCs w:val="27"/>
                <w:lang w:eastAsia="en-AU"/>
              </w:rPr>
              <w:t>Visitor Restrictions:</w:t>
            </w:r>
          </w:p>
          <w:p w14:paraId="0972DF57" w14:textId="77777777" w:rsidR="000C7CC3" w:rsidRPr="000C7CC3" w:rsidRDefault="000C7CC3" w:rsidP="000C7CC3">
            <w:pPr>
              <w:numPr>
                <w:ilvl w:val="0"/>
                <w:numId w:val="20"/>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From 12.01am on 26 December 2021, Canberra’s health facilities will </w:t>
            </w:r>
            <w:hyperlink r:id="rId18" w:tgtFrame="_blank" w:history="1">
              <w:r w:rsidRPr="000C7CC3">
                <w:rPr>
                  <w:rFonts w:ascii="Source Sans Pro" w:eastAsia="Times New Roman" w:hAnsi="Source Sans Pro" w:cs="Times New Roman"/>
                  <w:color w:val="313131"/>
                  <w:sz w:val="27"/>
                  <w:szCs w:val="27"/>
                  <w:u w:val="single"/>
                  <w:lang w:eastAsia="en-AU"/>
                </w:rPr>
                <w:t>tighten visitor restrictions</w:t>
              </w:r>
            </w:hyperlink>
            <w:r w:rsidRPr="000C7CC3">
              <w:rPr>
                <w:rFonts w:ascii="Source Sans Pro" w:eastAsia="Times New Roman" w:hAnsi="Source Sans Pro" w:cs="Times New Roman"/>
                <w:color w:val="313131"/>
                <w:sz w:val="27"/>
                <w:szCs w:val="27"/>
                <w:lang w:eastAsia="en-AU"/>
              </w:rPr>
              <w:t>.</w:t>
            </w:r>
          </w:p>
          <w:p w14:paraId="16EEC6D4" w14:textId="77777777" w:rsidR="000C7CC3" w:rsidRPr="000C7CC3" w:rsidRDefault="000C7CC3" w:rsidP="000C7CC3">
            <w:pPr>
              <w:numPr>
                <w:ilvl w:val="0"/>
                <w:numId w:val="20"/>
              </w:numPr>
              <w:spacing w:before="100" w:beforeAutospacing="1" w:after="96" w:line="384" w:lineRule="atLeast"/>
              <w:rPr>
                <w:rFonts w:ascii="Source Sans Pro" w:eastAsia="Times New Roman" w:hAnsi="Source Sans Pro" w:cs="Times New Roman"/>
                <w:color w:val="313131"/>
                <w:sz w:val="27"/>
                <w:szCs w:val="27"/>
                <w:lang w:eastAsia="en-AU"/>
              </w:rPr>
            </w:pPr>
            <w:r w:rsidRPr="000C7CC3">
              <w:rPr>
                <w:rFonts w:ascii="Source Sans Pro" w:eastAsia="Times New Roman" w:hAnsi="Source Sans Pro" w:cs="Times New Roman"/>
                <w:color w:val="313131"/>
                <w:sz w:val="27"/>
                <w:szCs w:val="27"/>
                <w:lang w:eastAsia="en-AU"/>
              </w:rPr>
              <w:t>No visitors will be able to enter a health facility unless in exceptional circumstances such as end of life, birthing or for paediatric care.</w:t>
            </w:r>
          </w:p>
        </w:tc>
      </w:tr>
    </w:tbl>
    <w:p w14:paraId="38556D7E" w14:textId="77777777" w:rsidR="000C7CC3" w:rsidRPr="000C7CC3" w:rsidRDefault="000C7CC3" w:rsidP="000C7CC3"/>
    <w:sectPr w:rsidR="000C7CC3" w:rsidRPr="000C7CC3" w:rsidSect="000C7CC3">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F9"/>
    <w:multiLevelType w:val="multilevel"/>
    <w:tmpl w:val="D69C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C11EE"/>
    <w:multiLevelType w:val="multilevel"/>
    <w:tmpl w:val="39B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574D"/>
    <w:multiLevelType w:val="multilevel"/>
    <w:tmpl w:val="BC66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52DDC"/>
    <w:multiLevelType w:val="multilevel"/>
    <w:tmpl w:val="0B6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40FBF"/>
    <w:multiLevelType w:val="multilevel"/>
    <w:tmpl w:val="9EA2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724D8"/>
    <w:multiLevelType w:val="multilevel"/>
    <w:tmpl w:val="37D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0A43"/>
    <w:multiLevelType w:val="multilevel"/>
    <w:tmpl w:val="991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761E8"/>
    <w:multiLevelType w:val="multilevel"/>
    <w:tmpl w:val="9A343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8244F"/>
    <w:multiLevelType w:val="multilevel"/>
    <w:tmpl w:val="55B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15134"/>
    <w:multiLevelType w:val="multilevel"/>
    <w:tmpl w:val="F53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463FE"/>
    <w:multiLevelType w:val="multilevel"/>
    <w:tmpl w:val="B1C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44BE"/>
    <w:multiLevelType w:val="multilevel"/>
    <w:tmpl w:val="C3D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24DBC"/>
    <w:multiLevelType w:val="multilevel"/>
    <w:tmpl w:val="BCE6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07B89"/>
    <w:multiLevelType w:val="multilevel"/>
    <w:tmpl w:val="F59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53BA"/>
    <w:multiLevelType w:val="multilevel"/>
    <w:tmpl w:val="9D64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F5E5D"/>
    <w:multiLevelType w:val="multilevel"/>
    <w:tmpl w:val="DDA6A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D1D9B"/>
    <w:multiLevelType w:val="multilevel"/>
    <w:tmpl w:val="1794D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A5DE0"/>
    <w:multiLevelType w:val="multilevel"/>
    <w:tmpl w:val="34B0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4363F"/>
    <w:multiLevelType w:val="multilevel"/>
    <w:tmpl w:val="8F540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D85B66"/>
    <w:multiLevelType w:val="multilevel"/>
    <w:tmpl w:val="1F4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1"/>
  </w:num>
  <w:num w:numId="5">
    <w:abstractNumId w:val="16"/>
  </w:num>
  <w:num w:numId="6">
    <w:abstractNumId w:val="6"/>
  </w:num>
  <w:num w:numId="7">
    <w:abstractNumId w:val="18"/>
  </w:num>
  <w:num w:numId="8">
    <w:abstractNumId w:val="17"/>
  </w:num>
  <w:num w:numId="9">
    <w:abstractNumId w:val="5"/>
  </w:num>
  <w:num w:numId="10">
    <w:abstractNumId w:val="9"/>
  </w:num>
  <w:num w:numId="11">
    <w:abstractNumId w:val="13"/>
  </w:num>
  <w:num w:numId="12">
    <w:abstractNumId w:val="11"/>
  </w:num>
  <w:num w:numId="13">
    <w:abstractNumId w:val="8"/>
  </w:num>
  <w:num w:numId="14">
    <w:abstractNumId w:val="3"/>
  </w:num>
  <w:num w:numId="15">
    <w:abstractNumId w:val="15"/>
  </w:num>
  <w:num w:numId="16">
    <w:abstractNumId w:val="19"/>
  </w:num>
  <w:num w:numId="17">
    <w:abstractNumId w:val="7"/>
  </w:num>
  <w:num w:numId="18">
    <w:abstractNumId w:val="12"/>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E"/>
    <w:rsid w:val="000C7CC3"/>
    <w:rsid w:val="00540FDB"/>
    <w:rsid w:val="00FD4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6770"/>
  <w15:chartTrackingRefBased/>
  <w15:docId w15:val="{CF20FEDA-295D-47A7-9221-9AB95E1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7C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CC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C7C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7CC3"/>
    <w:rPr>
      <w:b/>
      <w:bCs/>
    </w:rPr>
  </w:style>
  <w:style w:type="character" w:styleId="Hyperlink">
    <w:name w:val="Hyperlink"/>
    <w:basedOn w:val="DefaultParagraphFont"/>
    <w:uiPriority w:val="99"/>
    <w:semiHidden/>
    <w:unhideWhenUsed/>
    <w:rsid w:val="000C7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5228">
      <w:bodyDiv w:val="1"/>
      <w:marLeft w:val="0"/>
      <w:marRight w:val="0"/>
      <w:marTop w:val="0"/>
      <w:marBottom w:val="0"/>
      <w:divBdr>
        <w:top w:val="none" w:sz="0" w:space="0" w:color="auto"/>
        <w:left w:val="none" w:sz="0" w:space="0" w:color="auto"/>
        <w:bottom w:val="none" w:sz="0" w:space="0" w:color="auto"/>
        <w:right w:val="none" w:sz="0" w:space="0" w:color="auto"/>
      </w:divBdr>
    </w:div>
    <w:div w:id="669795042">
      <w:bodyDiv w:val="1"/>
      <w:marLeft w:val="0"/>
      <w:marRight w:val="0"/>
      <w:marTop w:val="0"/>
      <w:marBottom w:val="0"/>
      <w:divBdr>
        <w:top w:val="none" w:sz="0" w:space="0" w:color="auto"/>
        <w:left w:val="none" w:sz="0" w:space="0" w:color="auto"/>
        <w:bottom w:val="none" w:sz="0" w:space="0" w:color="auto"/>
        <w:right w:val="none" w:sz="0" w:space="0" w:color="auto"/>
      </w:divBdr>
    </w:div>
    <w:div w:id="1465152775">
      <w:bodyDiv w:val="1"/>
      <w:marLeft w:val="0"/>
      <w:marRight w:val="0"/>
      <w:marTop w:val="0"/>
      <w:marBottom w:val="0"/>
      <w:divBdr>
        <w:top w:val="none" w:sz="0" w:space="0" w:color="auto"/>
        <w:left w:val="none" w:sz="0" w:space="0" w:color="auto"/>
        <w:bottom w:val="none" w:sz="0" w:space="0" w:color="auto"/>
        <w:right w:val="none" w:sz="0" w:space="0" w:color="auto"/>
      </w:divBdr>
    </w:div>
    <w:div w:id="1608199828">
      <w:bodyDiv w:val="1"/>
      <w:marLeft w:val="0"/>
      <w:marRight w:val="0"/>
      <w:marTop w:val="0"/>
      <w:marBottom w:val="0"/>
      <w:divBdr>
        <w:top w:val="none" w:sz="0" w:space="0" w:color="auto"/>
        <w:left w:val="none" w:sz="0" w:space="0" w:color="auto"/>
        <w:bottom w:val="none" w:sz="0" w:space="0" w:color="auto"/>
        <w:right w:val="none" w:sz="0" w:space="0" w:color="auto"/>
      </w:divBdr>
    </w:div>
    <w:div w:id="1811745132">
      <w:bodyDiv w:val="1"/>
      <w:marLeft w:val="0"/>
      <w:marRight w:val="0"/>
      <w:marTop w:val="0"/>
      <w:marBottom w:val="0"/>
      <w:divBdr>
        <w:top w:val="none" w:sz="0" w:space="0" w:color="auto"/>
        <w:left w:val="none" w:sz="0" w:space="0" w:color="auto"/>
        <w:bottom w:val="none" w:sz="0" w:space="0" w:color="auto"/>
        <w:right w:val="none" w:sz="0" w:space="0" w:color="auto"/>
      </w:divBdr>
      <w:divsChild>
        <w:div w:id="1065182010">
          <w:marLeft w:val="0"/>
          <w:marRight w:val="0"/>
          <w:marTop w:val="0"/>
          <w:marBottom w:val="0"/>
          <w:divBdr>
            <w:top w:val="none" w:sz="0" w:space="0" w:color="auto"/>
            <w:left w:val="none" w:sz="0" w:space="0" w:color="auto"/>
            <w:bottom w:val="none" w:sz="0" w:space="0" w:color="auto"/>
            <w:right w:val="none" w:sz="0" w:space="0" w:color="auto"/>
          </w:divBdr>
        </w:div>
        <w:div w:id="1936131554">
          <w:marLeft w:val="0"/>
          <w:marRight w:val="0"/>
          <w:marTop w:val="0"/>
          <w:marBottom w:val="0"/>
          <w:divBdr>
            <w:top w:val="none" w:sz="0" w:space="0" w:color="auto"/>
            <w:left w:val="none" w:sz="0" w:space="0" w:color="auto"/>
            <w:bottom w:val="none" w:sz="0" w:space="0" w:color="auto"/>
            <w:right w:val="none" w:sz="0" w:space="0" w:color="auto"/>
          </w:divBdr>
        </w:div>
      </w:divsChild>
    </w:div>
    <w:div w:id="20915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protect-yourself" TargetMode="External"/><Relationship Id="rId13" Type="http://schemas.openxmlformats.org/officeDocument/2006/relationships/hyperlink" Target="https://www.covid19.act.gov.au/travel/entering-the-act" TargetMode="External"/><Relationship Id="rId18" Type="http://schemas.openxmlformats.org/officeDocument/2006/relationships/hyperlink" Target="https://health.act.gov.au/news/visitor-restrictions" TargetMode="External"/><Relationship Id="rId3" Type="http://schemas.openxmlformats.org/officeDocument/2006/relationships/settings" Target="settings.xml"/><Relationship Id="rId7" Type="http://schemas.openxmlformats.org/officeDocument/2006/relationships/hyperlink" Target="https://www.covid19.act.gov.au/stay-safe-and-healthy/check-in-cbr-app/information-for-businesses" TargetMode="External"/><Relationship Id="rId12" Type="http://schemas.openxmlformats.org/officeDocument/2006/relationships/hyperlink" Target="https://www.act.gov.au/business/keeping-your-business-covid-safe/covid-safety-plan" TargetMode="External"/><Relationship Id="rId17" Type="http://schemas.openxmlformats.org/officeDocument/2006/relationships/hyperlink" Target="https://www.covid19.act.gov.au/__data/assets/pdf_file/0007/1866031/Health-Guidelines-for-Schools-and-ECEC-including-OSHC_SWD-addendum_FINAL_300921-002.pdf" TargetMode="External"/><Relationship Id="rId2" Type="http://schemas.openxmlformats.org/officeDocument/2006/relationships/styles" Target="styles.xml"/><Relationship Id="rId16" Type="http://schemas.openxmlformats.org/officeDocument/2006/relationships/hyperlink" Target="https://www.covid19.act.gov.au/travel/overseas-trave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vid19.act.gov.au/stay-safe-and-healthy/check-in-cbr-app" TargetMode="External"/><Relationship Id="rId11" Type="http://schemas.openxmlformats.org/officeDocument/2006/relationships/hyperlink" Target="https://www.covid19.act.gov.au/stay-safe-and-healthy/check-in-cbr-app" TargetMode="External"/><Relationship Id="rId5" Type="http://schemas.openxmlformats.org/officeDocument/2006/relationships/hyperlink" Target="https://www.act.gov.au/business/keeping-your-business-covid-safe/covid-safety-plan" TargetMode="External"/><Relationship Id="rId15" Type="http://schemas.openxmlformats.org/officeDocument/2006/relationships/hyperlink" Target="https://www.covid19.act.gov.au/travel/online-travel-forms" TargetMode="External"/><Relationship Id="rId10" Type="http://schemas.openxmlformats.org/officeDocument/2006/relationships/hyperlink" Target="https://www.act.gov.au/business/keeping-your-business-covid-safe/covid-safety-pl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gov.au/business/keeping-your-business-covid-safe/covid-safety-plan" TargetMode="External"/><Relationship Id="rId14" Type="http://schemas.openxmlformats.org/officeDocument/2006/relationships/hyperlink" Target="https://www.covid19.act.gov.au/travel/oversea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Anup (Health)</dc:creator>
  <cp:keywords/>
  <dc:description/>
  <cp:lastModifiedBy>Pereira, Anup (Health)</cp:lastModifiedBy>
  <cp:revision>2</cp:revision>
  <dcterms:created xsi:type="dcterms:W3CDTF">2022-01-13T05:19:00Z</dcterms:created>
  <dcterms:modified xsi:type="dcterms:W3CDTF">2022-01-13T05:23:00Z</dcterms:modified>
</cp:coreProperties>
</file>